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color w:val="000000"/>
          <w:kern w:val="0"/>
          <w:sz w:val="32"/>
          <w:szCs w:val="32"/>
          <w:lang w:val="en-US" w:eastAsia="zh-CN" w:bidi="ar"/>
        </w:rPr>
      </w:pPr>
      <w:r>
        <w:rPr>
          <w:rFonts w:hint="eastAsia" w:ascii="仿宋_GB2312" w:hAnsi="仿宋_GB2312" w:eastAsia="仿宋_GB2312" w:cs="仿宋_GB2312"/>
          <w:b w:val="0"/>
          <w:bCs/>
          <w:color w:val="000000"/>
          <w:kern w:val="0"/>
          <w:sz w:val="32"/>
          <w:szCs w:val="32"/>
          <w:lang w:val="en-US" w:eastAsia="zh-CN" w:bidi="ar"/>
        </w:rPr>
        <w:t>附件1</w:t>
      </w:r>
    </w:p>
    <w:p>
      <w:pPr>
        <w:jc w:val="both"/>
        <w:rPr>
          <w:rFonts w:hint="eastAsia" w:ascii="仿宋_GB2312" w:hAnsi="仿宋_GB2312" w:eastAsia="仿宋_GB2312" w:cs="仿宋_GB2312"/>
          <w:b w:val="0"/>
          <w:bCs/>
          <w:color w:val="000000"/>
          <w:kern w:val="0"/>
          <w:sz w:val="32"/>
          <w:szCs w:val="32"/>
          <w:lang w:val="en-US" w:eastAsia="zh-CN" w:bidi="ar"/>
        </w:rPr>
      </w:pPr>
      <w:r>
        <w:rPr>
          <w:rFonts w:hint="eastAsia"/>
        </w:rPr>
        <w:t xml:space="preserve">                                            </w:t>
      </w:r>
      <w:r>
        <w:rPr>
          <w:rFonts w:hint="eastAsia" w:ascii="仿宋_GB2312" w:hAnsi="仿宋_GB2312" w:eastAsia="仿宋_GB2312" w:cs="仿宋_GB2312"/>
          <w:b w:val="0"/>
          <w:bCs/>
          <w:color w:val="000000"/>
          <w:kern w:val="0"/>
          <w:sz w:val="32"/>
          <w:szCs w:val="32"/>
          <w:lang w:val="en-US" w:eastAsia="zh-CN" w:bidi="ar"/>
        </w:rPr>
        <w:t xml:space="preserve">      </w:t>
      </w:r>
    </w:p>
    <w:p>
      <w:pPr>
        <w:jc w:val="right"/>
        <w:rPr>
          <w:rFonts w:hint="eastAsia" w:ascii="仿宋_GB2312" w:hAnsi="仿宋_GB2312" w:eastAsia="仿宋_GB2312" w:cs="仿宋_GB2312"/>
          <w:b w:val="0"/>
          <w:bCs/>
          <w:color w:val="000000"/>
          <w:kern w:val="0"/>
          <w:sz w:val="32"/>
          <w:szCs w:val="32"/>
          <w:lang w:val="en-US" w:eastAsia="zh-CN" w:bidi="ar"/>
        </w:rPr>
      </w:pPr>
      <w:r>
        <w:rPr>
          <w:rFonts w:hint="eastAsia" w:ascii="仿宋_GB2312" w:hAnsi="仿宋_GB2312" w:eastAsia="仿宋_GB2312" w:cs="仿宋_GB2312"/>
          <w:b w:val="0"/>
          <w:bCs/>
          <w:color w:val="000000"/>
          <w:kern w:val="0"/>
          <w:sz w:val="32"/>
          <w:szCs w:val="32"/>
          <w:lang w:val="en-US" w:eastAsia="zh-CN" w:bidi="ar"/>
        </w:rPr>
        <w:t>闽科企函〔2024〕7号</w:t>
      </w:r>
    </w:p>
    <w:p>
      <w:pPr>
        <w:rPr>
          <w:rFonts w:hint="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outlineLvl w:val="3"/>
        <w:rPr>
          <w:rFonts w:hint="eastAsia" w:ascii="方正小标宋简体" w:hAnsi="方正小标宋简体" w:eastAsia="方正小标宋简体" w:cs="方正小标宋简体"/>
          <w:b w:val="0"/>
          <w:bCs/>
          <w:color w:val="auto"/>
          <w:spacing w:val="0"/>
          <w:kern w:val="2"/>
          <w:sz w:val="44"/>
          <w:szCs w:val="44"/>
          <w:highlight w:val="none"/>
          <w:lang w:val="en-US" w:eastAsia="zh-CN" w:bidi="ar-SA"/>
        </w:rPr>
      </w:pPr>
      <w:r>
        <w:rPr>
          <w:rFonts w:hint="eastAsia" w:ascii="方正小标宋简体" w:hAnsi="方正小标宋简体" w:eastAsia="方正小标宋简体" w:cs="方正小标宋简体"/>
          <w:b w:val="0"/>
          <w:bCs/>
          <w:color w:val="auto"/>
          <w:spacing w:val="0"/>
          <w:kern w:val="2"/>
          <w:sz w:val="44"/>
          <w:szCs w:val="44"/>
          <w:highlight w:val="none"/>
          <w:lang w:val="en-US" w:eastAsia="zh-CN" w:bidi="ar-SA"/>
        </w:rPr>
        <w:t>福建省科学技术厅关于组织开展2024年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outlineLvl w:val="3"/>
        <w:rPr>
          <w:rFonts w:hint="eastAsia" w:ascii="方正小标宋简体" w:hAnsi="方正小标宋简体" w:eastAsia="方正小标宋简体" w:cs="方正小标宋简体"/>
          <w:b w:val="0"/>
          <w:bCs/>
          <w:color w:val="auto"/>
          <w:spacing w:val="0"/>
          <w:kern w:val="2"/>
          <w:sz w:val="44"/>
          <w:szCs w:val="44"/>
          <w:highlight w:val="none"/>
          <w:lang w:val="en-US" w:eastAsia="zh-CN" w:bidi="ar-SA"/>
        </w:rPr>
      </w:pPr>
      <w:r>
        <w:rPr>
          <w:rFonts w:hint="eastAsia" w:ascii="方正小标宋简体" w:hAnsi="方正小标宋简体" w:eastAsia="方正小标宋简体" w:cs="方正小标宋简体"/>
          <w:b w:val="0"/>
          <w:bCs/>
          <w:color w:val="auto"/>
          <w:spacing w:val="0"/>
          <w:kern w:val="2"/>
          <w:sz w:val="44"/>
          <w:szCs w:val="44"/>
          <w:highlight w:val="none"/>
          <w:lang w:val="en-US" w:eastAsia="zh-CN" w:bidi="ar-SA"/>
        </w:rPr>
        <w:t>科技型中小企业评价工作的通知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outlineLvl w:val="3"/>
        <w:rPr>
          <w:rFonts w:hint="eastAsia" w:ascii="方正小标宋简体" w:hAnsi="方正小标宋简体" w:eastAsia="方正小标宋简体" w:cs="方正小标宋简体"/>
          <w:b w:val="0"/>
          <w:bCs/>
          <w:color w:val="auto"/>
          <w:spacing w:val="0"/>
          <w:kern w:val="2"/>
          <w:sz w:val="44"/>
          <w:szCs w:val="44"/>
          <w:highlight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各设区市科技局、平潭综合实验区经济发展局：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firstLineChars="0"/>
        <w:jc w:val="both"/>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　　根据《科技型中小企业评价办法》（国科发政〔2017〕115号）《科技型中小企业评价服务工作指引》（国科火字〔2022〕67号）和《工业和信息化部办公厅关于开展2024年度科技型中小企业评价工作的通知》（工信厅企业函﹝2024﹞244号）的有关要求，现就我省组织开展2024年科技型中小企业评价工作的有关事项明确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firstLine="640" w:firstLineChars="200"/>
        <w:jc w:val="left"/>
        <w:textAlignment w:val="auto"/>
        <w:rPr>
          <w:rFonts w:hint="eastAsia" w:ascii="黑体" w:hAnsi="黑体" w:eastAsia="黑体" w:cs="黑体"/>
          <w:b w:val="0"/>
          <w:bCs/>
          <w:color w:val="auto"/>
          <w:spacing w:val="0"/>
          <w:kern w:val="2"/>
          <w:sz w:val="32"/>
          <w:szCs w:val="32"/>
          <w:highlight w:val="none"/>
          <w:lang w:val="en-US" w:eastAsia="zh-CN" w:bidi="ar-SA"/>
        </w:rPr>
      </w:pPr>
      <w:r>
        <w:rPr>
          <w:rFonts w:hint="eastAsia" w:ascii="黑体" w:hAnsi="黑体" w:eastAsia="黑体" w:cs="黑体"/>
          <w:b w:val="0"/>
          <w:bCs/>
          <w:color w:val="auto"/>
          <w:spacing w:val="0"/>
          <w:kern w:val="2"/>
          <w:sz w:val="32"/>
          <w:szCs w:val="32"/>
          <w:highlight w:val="none"/>
          <w:lang w:val="en-US" w:eastAsia="zh-CN" w:bidi="ar-SA"/>
        </w:rPr>
        <w:t>一、办理流程及时间节点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符合条件的中小企业按照自愿原则，登录优质中小企业梯度培育平台（https://zjtx.miit.gov.cn/）“科技型中小企业”板块（以下简称平台）注册并填报企业相关信息，上传加盖企业公章的相关佐证材料，并保证所填内容和提交资料准确、真实、合法、有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企业原则上应于9月30日前完成参评提交，各评价机构10月12日前完成确认。我省今年第一批拟入库企业于7月中旬公示，最后一批拟入库企业于10月中旬公示，全年计划公示4批。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Chars="200" w:right="0" w:rightChars="0" w:firstLine="320" w:firstLineChars="100"/>
        <w:jc w:val="left"/>
        <w:textAlignment w:val="auto"/>
        <w:rPr>
          <w:rFonts w:hint="eastAsia" w:ascii="黑体" w:hAnsi="黑体" w:eastAsia="黑体" w:cs="黑体"/>
          <w:b w:val="0"/>
          <w:bCs/>
          <w:color w:val="auto"/>
          <w:spacing w:val="0"/>
          <w:kern w:val="2"/>
          <w:sz w:val="32"/>
          <w:szCs w:val="32"/>
          <w:highlight w:val="none"/>
          <w:lang w:val="en-US" w:eastAsia="zh-CN" w:bidi="ar-SA"/>
        </w:rPr>
      </w:pPr>
      <w:r>
        <w:rPr>
          <w:rFonts w:hint="eastAsia" w:ascii="黑体" w:hAnsi="黑体" w:eastAsia="黑体" w:cs="黑体"/>
          <w:b w:val="0"/>
          <w:bCs/>
          <w:color w:val="auto"/>
          <w:spacing w:val="0"/>
          <w:kern w:val="2"/>
          <w:sz w:val="32"/>
          <w:szCs w:val="32"/>
          <w:highlight w:val="none"/>
          <w:lang w:val="en-US" w:eastAsia="zh-CN" w:bidi="ar-SA"/>
        </w:rPr>
        <w:t>二、把好入库企业质量关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楷体_GB2312" w:hAnsi="楷体_GB2312" w:eastAsia="楷体_GB2312" w:cs="楷体_GB2312"/>
          <w:b w:val="0"/>
          <w:bCs/>
          <w:color w:val="auto"/>
          <w:spacing w:val="0"/>
          <w:kern w:val="2"/>
          <w:sz w:val="32"/>
          <w:szCs w:val="32"/>
          <w:highlight w:val="none"/>
          <w:lang w:val="en-US" w:eastAsia="zh-CN" w:bidi="ar-SA"/>
        </w:rPr>
        <w:t>（一）加强材料审核。</w:t>
      </w:r>
      <w:r>
        <w:rPr>
          <w:rFonts w:hint="eastAsia" w:ascii="Times New Roman" w:hAnsi="Times New Roman" w:eastAsia="仿宋_GB2312" w:cs="仿宋_GB2312"/>
          <w:b w:val="0"/>
          <w:bCs/>
          <w:color w:val="auto"/>
          <w:spacing w:val="0"/>
          <w:kern w:val="2"/>
          <w:sz w:val="32"/>
          <w:szCs w:val="32"/>
          <w:highlight w:val="none"/>
          <w:lang w:val="en-US" w:eastAsia="zh-CN" w:bidi="ar-SA"/>
        </w:rPr>
        <w:t>评价机构应对所有企业填报资料和佐证材料进行全面审核。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楷体_GB2312" w:hAnsi="楷体_GB2312" w:eastAsia="楷体_GB2312" w:cs="楷体_GB2312"/>
          <w:b w:val="0"/>
          <w:bCs/>
          <w:color w:val="auto"/>
          <w:spacing w:val="0"/>
          <w:kern w:val="2"/>
          <w:sz w:val="32"/>
          <w:szCs w:val="32"/>
          <w:highlight w:val="none"/>
          <w:lang w:val="en-US" w:eastAsia="zh-CN" w:bidi="ar-SA"/>
        </w:rPr>
        <w:t>（二）对部分企业进行实地核查。</w:t>
      </w:r>
      <w:r>
        <w:rPr>
          <w:rFonts w:hint="eastAsia" w:ascii="Times New Roman" w:hAnsi="Times New Roman" w:eastAsia="仿宋_GB2312" w:cs="仿宋_GB2312"/>
          <w:b w:val="0"/>
          <w:bCs/>
          <w:color w:val="auto"/>
          <w:spacing w:val="0"/>
          <w:kern w:val="2"/>
          <w:sz w:val="32"/>
          <w:szCs w:val="32"/>
          <w:highlight w:val="none"/>
          <w:lang w:val="en-US" w:eastAsia="zh-CN" w:bidi="ar-SA"/>
        </w:rPr>
        <w:t>本年度参评企业如符合以下情况，各评价机构确认提交前应开展实地核查：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1.职工总数为5人及以下的企业。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2.科技人员占比90%及以上，且职工总数50人及以上的企业。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3.过去三年曾有严重违法失信、撤销入库编号等情况的企业。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楷体_GB2312" w:hAnsi="楷体_GB2312" w:eastAsia="楷体_GB2312" w:cs="楷体_GB2312"/>
          <w:b w:val="0"/>
          <w:bCs/>
          <w:color w:val="auto"/>
          <w:spacing w:val="0"/>
          <w:kern w:val="2"/>
          <w:sz w:val="32"/>
          <w:szCs w:val="32"/>
          <w:highlight w:val="none"/>
          <w:lang w:val="en-US" w:eastAsia="zh-CN" w:bidi="ar-SA"/>
        </w:rPr>
        <w:t>（三）开展入库企业集中抽查工作。</w:t>
      </w:r>
      <w:r>
        <w:rPr>
          <w:rFonts w:hint="eastAsia" w:ascii="Times New Roman" w:hAnsi="Times New Roman" w:eastAsia="仿宋_GB2312" w:cs="仿宋_GB2312"/>
          <w:b w:val="0"/>
          <w:bCs/>
          <w:color w:val="auto"/>
          <w:spacing w:val="0"/>
          <w:kern w:val="2"/>
          <w:sz w:val="32"/>
          <w:szCs w:val="32"/>
          <w:highlight w:val="none"/>
          <w:lang w:val="en-US" w:eastAsia="zh-CN" w:bidi="ar-SA"/>
        </w:rPr>
        <w:t>年底前将开展集中随机抽查，由省科技厅随机确定抽查企业名单，被抽查企业提供核验材料，评价机构进行核验，省科技厅将对不符合条件的企业予以撤销编号。对有弄虚作假行为的企业，取消本年度评价资格，且三年内不得参与评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楷体_GB2312" w:hAnsi="楷体_GB2312" w:eastAsia="楷体_GB2312" w:cs="楷体_GB2312"/>
          <w:b w:val="0"/>
          <w:bCs/>
          <w:color w:val="auto"/>
          <w:spacing w:val="0"/>
          <w:kern w:val="2"/>
          <w:sz w:val="32"/>
          <w:szCs w:val="32"/>
          <w:highlight w:val="none"/>
          <w:lang w:val="en-US" w:eastAsia="zh-CN" w:bidi="ar-SA"/>
        </w:rPr>
        <w:t>（四）强化评价工作监督。</w:t>
      </w:r>
      <w:r>
        <w:rPr>
          <w:rFonts w:hint="eastAsia" w:ascii="Times New Roman" w:hAnsi="Times New Roman" w:eastAsia="仿宋_GB2312" w:cs="仿宋_GB2312"/>
          <w:b w:val="0"/>
          <w:bCs/>
          <w:color w:val="auto"/>
          <w:spacing w:val="0"/>
          <w:kern w:val="2"/>
          <w:sz w:val="32"/>
          <w:szCs w:val="32"/>
          <w:highlight w:val="none"/>
          <w:lang w:val="en-US" w:eastAsia="zh-CN" w:bidi="ar-SA"/>
        </w:rPr>
        <w:t>各评价机构应及时核实处理拟入库企业公示异议、投诉和举报信息。针对评价工作中风险异议企业数量较多的地区，省科技厅将适时派员实地调研。</w:t>
      </w:r>
    </w:p>
    <w:p>
      <w:pPr>
        <w:keepNext w:val="0"/>
        <w:keepLines w:val="0"/>
        <w:pageBreakBefore w:val="0"/>
        <w:widowControl/>
        <w:numPr>
          <w:ilvl w:val="0"/>
          <w:numId w:val="0"/>
        </w:numPr>
        <w:suppressLineNumbers w:val="0"/>
        <w:kinsoku/>
        <w:wordWrap/>
        <w:overflowPunct/>
        <w:autoSpaceDE/>
        <w:autoSpaceDN/>
        <w:bidi w:val="0"/>
        <w:snapToGrid/>
        <w:spacing w:line="580" w:lineRule="exact"/>
        <w:ind w:left="640" w:leftChars="0"/>
        <w:jc w:val="left"/>
        <w:textAlignment w:val="auto"/>
        <w:rPr>
          <w:rFonts w:hint="eastAsia" w:ascii="黑体" w:hAnsi="黑体" w:eastAsia="黑体" w:cs="黑体"/>
          <w:b w:val="0"/>
          <w:bCs/>
          <w:color w:val="auto"/>
          <w:spacing w:val="0"/>
          <w:kern w:val="2"/>
          <w:sz w:val="32"/>
          <w:szCs w:val="32"/>
          <w:highlight w:val="none"/>
          <w:lang w:val="en-US" w:eastAsia="zh-CN" w:bidi="ar-SA"/>
        </w:rPr>
      </w:pPr>
      <w:r>
        <w:rPr>
          <w:rFonts w:hint="eastAsia" w:ascii="黑体" w:hAnsi="黑体" w:eastAsia="黑体" w:cs="黑体"/>
          <w:b w:val="0"/>
          <w:bCs/>
          <w:color w:val="auto"/>
          <w:spacing w:val="0"/>
          <w:kern w:val="2"/>
          <w:sz w:val="32"/>
          <w:szCs w:val="32"/>
          <w:highlight w:val="none"/>
          <w:lang w:val="en-US" w:eastAsia="zh-CN" w:bidi="ar-SA"/>
        </w:rPr>
        <w:t>三、做好评价工作保障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各设区市科技局和平潭综合实验区经济发展局要加强评价机构力量建设，特别是增加实地核查人员，建立市场监管、税务等部门间常态化沟通机制，确保评价工作按时完成，保障符合条件的企业及时入库并享受优惠政策，切实加大提高科技型中小企业研究开发费用税前加计扣除比例政策落实力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numPr>
          <w:ilvl w:val="0"/>
          <w:numId w:val="0"/>
        </w:numPr>
        <w:suppressLineNumbers w:val="0"/>
        <w:kinsoku/>
        <w:wordWrap/>
        <w:overflowPunct/>
        <w:autoSpaceDE/>
        <w:autoSpaceDN/>
        <w:bidi w:val="0"/>
        <w:snapToGrid/>
        <w:spacing w:line="580" w:lineRule="exact"/>
        <w:ind w:left="640" w:leftChars="0"/>
        <w:jc w:val="left"/>
        <w:textAlignment w:val="auto"/>
        <w:rPr>
          <w:rFonts w:hint="eastAsia" w:ascii="黑体" w:hAnsi="黑体" w:eastAsia="黑体" w:cs="黑体"/>
          <w:b w:val="0"/>
          <w:bCs/>
          <w:color w:val="auto"/>
          <w:spacing w:val="0"/>
          <w:kern w:val="2"/>
          <w:sz w:val="32"/>
          <w:szCs w:val="32"/>
          <w:highlight w:val="none"/>
          <w:lang w:val="en-US" w:eastAsia="zh-CN" w:bidi="ar-SA"/>
        </w:rPr>
      </w:pPr>
      <w:r>
        <w:rPr>
          <w:rFonts w:hint="eastAsia" w:ascii="黑体" w:hAnsi="黑体" w:eastAsia="黑体" w:cs="黑体"/>
          <w:b w:val="0"/>
          <w:bCs/>
          <w:color w:val="auto"/>
          <w:spacing w:val="0"/>
          <w:kern w:val="2"/>
          <w:sz w:val="32"/>
          <w:szCs w:val="32"/>
          <w:highlight w:val="none"/>
          <w:lang w:val="en-US" w:eastAsia="zh-CN" w:bidi="ar-SA"/>
        </w:rPr>
        <w:t>四、咨询联系电话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系统支持电话:010-87901013、87901032、87901067</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账号咨询电话：010-12381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业务咨询电话: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福州  0591-83353734    漳州  0596-2946081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泉州  0595-22579372    三明  0598-8592253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 xml:space="preserve">莆田  0594-2655395     南平  0599-8803157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 xml:space="preserve">龙岩  0597-2323770     宁德  0593-2093099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平潭  0591-23163108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省科技厅  0591-87808097/87845071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center"/>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 xml:space="preserve">                 福建省科学技术厅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r>
        <w:rPr>
          <w:rFonts w:hint="eastAsia" w:ascii="Times New Roman" w:hAnsi="Times New Roman" w:eastAsia="仿宋_GB2312" w:cs="仿宋_GB2312"/>
          <w:b w:val="0"/>
          <w:bCs/>
          <w:color w:val="auto"/>
          <w:spacing w:val="0"/>
          <w:kern w:val="2"/>
          <w:sz w:val="32"/>
          <w:szCs w:val="32"/>
          <w:highlight w:val="none"/>
          <w:lang w:val="en-US" w:eastAsia="zh-CN" w:bidi="ar-SA"/>
        </w:rPr>
        <w:t>　                      　  2024年6月27日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firstLine="4480" w:firstLineChars="140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bookmarkStart w:id="0" w:name="_GoBack"/>
      <w:bookmarkEnd w:id="0"/>
      <w:r>
        <w:rPr>
          <w:rFonts w:hint="eastAsia" w:ascii="Times New Roman" w:hAnsi="Times New Roman" w:eastAsia="仿宋_GB2312" w:cs="仿宋_GB2312"/>
          <w:b w:val="0"/>
          <w:bCs/>
          <w:color w:val="auto"/>
          <w:spacing w:val="0"/>
          <w:kern w:val="2"/>
          <w:sz w:val="32"/>
          <w:szCs w:val="32"/>
          <w:highlight w:val="none"/>
          <w:lang w:val="en-US" w:eastAsia="zh-CN" w:bidi="ar-SA"/>
        </w:rPr>
        <w:t>（此件主动公开）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autoSpaceDE/>
        <w:autoSpaceDN/>
        <w:bidi w:val="0"/>
        <w:snapToGrid/>
        <w:spacing w:before="0" w:beforeAutospacing="0" w:after="0" w:afterAutospacing="0" w:line="580" w:lineRule="exact"/>
        <w:ind w:left="0" w:right="0"/>
        <w:jc w:val="left"/>
        <w:textAlignment w:val="auto"/>
        <w:rPr>
          <w:rFonts w:hint="eastAsia" w:ascii="Times New Roman" w:hAnsi="Times New Roman" w:eastAsia="仿宋_GB2312" w:cs="仿宋_GB2312"/>
          <w:b w:val="0"/>
          <w:bCs/>
          <w:color w:val="auto"/>
          <w:spacing w:val="0"/>
          <w:kern w:val="2"/>
          <w:sz w:val="32"/>
          <w:szCs w:val="32"/>
          <w:highlight w:val="none"/>
          <w:lang w:val="en-US" w:eastAsia="zh-CN" w:bidi="ar-SA"/>
        </w:rPr>
      </w:pPr>
    </w:p>
    <w:sectPr>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A04020102020204"/>
    <w:charset w:val="01"/>
    <w:family w:val="swiss"/>
    <w:pitch w:val="default"/>
    <w:sig w:usb0="A00002AF" w:usb1="400078FB" w:usb2="00000000" w:usb3="00000000" w:csb0="6000009F" w:csb1="DFD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ZGI2ZjkzNWUzYmMwY2ZkYzM2Zjg5Nzk4M2ExZTQifQ=="/>
  </w:docVars>
  <w:rsids>
    <w:rsidRoot w:val="2D574346"/>
    <w:rsid w:val="0F962DC7"/>
    <w:rsid w:val="2D574346"/>
    <w:rsid w:val="FF766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kern w:val="0"/>
      <w:sz w:val="24"/>
      <w:szCs w:val="24"/>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984</Words>
  <Characters>1205</Characters>
  <Lines>0</Lines>
  <Paragraphs>0</Paragraphs>
  <TotalTime>3</TotalTime>
  <ScaleCrop>false</ScaleCrop>
  <LinksUpToDate>false</LinksUpToDate>
  <CharactersWithSpaces>1344</CharactersWithSpaces>
  <Application>WPS Office_11.8.2.10554_F1E327BC-269C-435d-A152-05C5408002CA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2024-07-02T15:25:00Z</dcterms:created>
  <dc:creator>鹿鸣</dc:creator>
  <cp:lastModifiedBy>neokylin</cp:lastModifiedBy>
  <dcterms:modified xsi:type="dcterms:W3CDTF">2024-07-03T15:42:12Z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2052-11.8.2.10554</vt:lpwstr>
  </property>
  <property fmtid="{D5CDD505-2E9C-101B-9397-08002B2CF9AE}" pid="3" name="ICV">
    <vt:lpwstr>23934AFED175443D978433326A298C8B_11</vt:lpwstr>
  </property>
</Properties>
</file>