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9B696A">
      <w:pPr>
        <w:spacing w:line="560" w:lineRule="exact"/>
        <w:jc w:val="center"/>
        <w:rPr>
          <w:rFonts w:ascii="华文中宋" w:hAnsi="华文中宋" w:eastAsia="华文中宋" w:cs="黑体"/>
          <w:b/>
          <w:sz w:val="44"/>
          <w:szCs w:val="44"/>
        </w:rPr>
      </w:pPr>
      <w:r>
        <w:rPr>
          <w:rFonts w:hint="eastAsia" w:ascii="华文中宋" w:hAnsi="华文中宋" w:eastAsia="华文中宋" w:cs="黑体"/>
          <w:b/>
          <w:sz w:val="44"/>
          <w:szCs w:val="44"/>
        </w:rPr>
        <w:t>安全生产行政执法文书</w:t>
      </w:r>
    </w:p>
    <w:p w14:paraId="183323D7">
      <w:pPr>
        <w:spacing w:line="560" w:lineRule="exact"/>
        <w:jc w:val="center"/>
        <w:rPr>
          <w:rFonts w:ascii="华文中宋" w:hAnsi="华文中宋" w:eastAsia="华文中宋" w:cs="黑体"/>
          <w:b/>
          <w:sz w:val="44"/>
          <w:szCs w:val="44"/>
        </w:rPr>
      </w:pPr>
      <w:r>
        <w:rPr>
          <w:rFonts w:ascii="华文中宋" w:hAnsi="华文中宋" w:eastAsia="华文中宋" w:cs="黑体"/>
          <w:b/>
          <w:sz w:val="44"/>
          <w:szCs w:val="44"/>
        </w:rP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0</wp:posOffset>
                </wp:positionV>
                <wp:extent cx="5600700" cy="0"/>
                <wp:effectExtent l="0" t="19050" r="0" b="19050"/>
                <wp:wrapNone/>
                <wp:docPr id="1" name="直接连接符 42"/>
                <wp:cNvGraphicFramePr/>
                <a:graphic xmlns:a="http://schemas.openxmlformats.org/drawingml/2006/main">
                  <a:graphicData uri="http://schemas.microsoft.com/office/word/2010/wordprocessingShape">
                    <wps:wsp>
                      <wps:cNvCnPr/>
                      <wps:spPr>
                        <a:xfrm flipV="1">
                          <a:off x="0" y="0"/>
                          <a:ext cx="5600700" cy="0"/>
                        </a:xfrm>
                        <a:prstGeom prst="line">
                          <a:avLst/>
                        </a:prstGeom>
                        <a:ln w="38100" cap="flat" cmpd="dbl">
                          <a:solidFill>
                            <a:srgbClr val="000000"/>
                          </a:solidFill>
                          <a:prstDash val="solid"/>
                          <a:round/>
                          <a:headEnd type="none" w="med" len="med"/>
                          <a:tailEnd type="none" w="med" len="med"/>
                        </a:ln>
                      </wps:spPr>
                      <wps:bodyPr upright="1"/>
                    </wps:wsp>
                  </a:graphicData>
                </a:graphic>
              </wp:anchor>
            </w:drawing>
          </mc:Choice>
          <mc:Fallback>
            <w:pict>
              <v:line id="直接连接符 42" o:spid="_x0000_s1026" o:spt="20" style="position:absolute;left:0pt;flip:y;margin-left:0pt;margin-top:0pt;height:0pt;width:441pt;z-index:251659264;mso-width-relative:page;mso-height-relative:page;" filled="f" stroked="t" coordsize="21600,21600" o:allowincell="f" o:gfxdata="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Tex380AAAACAQAADwAAAAAAAAABACAAAAAiAAAAZHJzL2Rvd25yZXYueG1sUEsB&#10;AhQAFAAAAAgAh07iQGXCpWcAAgAA+gMAAA4AAAAAAAAAAQAgAAAAHAEAAGRycy9lMm9Eb2MueG1s&#10;UEsFBgAAAAAGAAYAWQEAAI4FAAAAAA==&#10;">
                <v:fill on="f" focussize="0,0"/>
                <v:stroke weight="3pt" color="#000000" linestyle="thinThin" joinstyle="round"/>
                <v:imagedata o:title=""/>
                <o:lock v:ext="edit" aspectratio="f"/>
              </v:line>
            </w:pict>
          </mc:Fallback>
        </mc:AlternateContent>
      </w:r>
      <w:r>
        <w:rPr>
          <w:rFonts w:hint="eastAsia" w:ascii="华文中宋" w:hAnsi="华文中宋" w:eastAsia="华文中宋" w:cs="黑体"/>
          <w:b/>
          <w:sz w:val="44"/>
          <w:szCs w:val="44"/>
        </w:rPr>
        <w:t>行政处罚决定书</w:t>
      </w:r>
    </w:p>
    <w:p w14:paraId="2F258D14">
      <w:pPr>
        <w:spacing w:line="600" w:lineRule="exact"/>
        <w:jc w:val="center"/>
        <w:rPr>
          <w:rFonts w:ascii="仿宋_GB2312" w:hAnsi="仿宋" w:eastAsia="仿宋_GB2312" w:cs="Calibri"/>
          <w:sz w:val="24"/>
          <w:szCs w:val="24"/>
        </w:rPr>
      </w:pPr>
      <w:r>
        <w:rPr>
          <w:rFonts w:hint="eastAsia" w:ascii="仿宋_GB2312" w:hAnsi="仿宋" w:eastAsia="仿宋_GB2312" w:cs="Calibri"/>
          <w:sz w:val="24"/>
          <w:szCs w:val="24"/>
        </w:rPr>
        <w:t>（</w:t>
      </w:r>
      <w:r>
        <w:rPr>
          <w:rFonts w:hint="eastAsia" w:ascii="仿宋_GB2312" w:hAnsi="仿宋" w:eastAsia="仿宋_GB2312" w:cs="Calibri"/>
          <w:sz w:val="24"/>
          <w:szCs w:val="24"/>
          <w:lang w:eastAsia="zh-CN"/>
        </w:rPr>
        <w:t>樟</w:t>
      </w:r>
      <w:r>
        <w:rPr>
          <w:rFonts w:hint="eastAsia" w:ascii="仿宋_GB2312" w:hAnsi="仿宋" w:eastAsia="仿宋_GB2312" w:cs="Calibri"/>
          <w:sz w:val="24"/>
          <w:szCs w:val="24"/>
        </w:rPr>
        <w:t>）应急罚〔</w:t>
      </w:r>
      <w:r>
        <w:rPr>
          <w:rFonts w:hint="eastAsia" w:ascii="仿宋_GB2312" w:hAnsi="仿宋" w:eastAsia="仿宋_GB2312" w:cs="Calibri"/>
          <w:sz w:val="24"/>
          <w:szCs w:val="24"/>
          <w:lang w:val="en-US" w:eastAsia="zh-CN"/>
        </w:rPr>
        <w:t>2025</w:t>
      </w:r>
      <w:r>
        <w:rPr>
          <w:rFonts w:hint="eastAsia" w:ascii="仿宋_GB2312" w:hAnsi="仿宋" w:eastAsia="仿宋_GB2312" w:cs="Calibri"/>
          <w:sz w:val="24"/>
          <w:szCs w:val="24"/>
        </w:rPr>
        <w:t>〕</w:t>
      </w:r>
      <w:r>
        <w:rPr>
          <w:rFonts w:hint="eastAsia" w:ascii="仿宋_GB2312" w:hAnsi="仿宋" w:eastAsia="仿宋_GB2312" w:cs="Calibri"/>
          <w:sz w:val="24"/>
          <w:szCs w:val="24"/>
          <w:lang w:val="en-US" w:eastAsia="zh-CN"/>
        </w:rPr>
        <w:t>12</w:t>
      </w:r>
      <w:r>
        <w:rPr>
          <w:rFonts w:hint="eastAsia" w:ascii="仿宋_GB2312" w:hAnsi="仿宋" w:eastAsia="仿宋_GB2312" w:cs="Calibri"/>
          <w:sz w:val="24"/>
          <w:szCs w:val="24"/>
        </w:rPr>
        <w:t>号</w:t>
      </w:r>
    </w:p>
    <w:p w14:paraId="56BC5BE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2"/>
          <w:szCs w:val="22"/>
          <w:highlight w:val="none"/>
          <w:u w:val="single"/>
        </w:rPr>
      </w:pPr>
      <w:r>
        <w:rPr>
          <w:rFonts w:hint="eastAsia" w:ascii="仿宋_GB2312" w:hAnsi="仿宋_GB2312" w:eastAsia="仿宋_GB2312" w:cs="仿宋_GB2312"/>
          <w:sz w:val="22"/>
          <w:szCs w:val="22"/>
          <w:highlight w:val="none"/>
          <w:u w:val="none"/>
        </w:rPr>
        <w:t>被处罚人：</w:t>
      </w:r>
      <w:r>
        <w:rPr>
          <w:rFonts w:hint="eastAsia" w:ascii="仿宋_GB2312" w:hAnsi="仿宋_GB2312" w:eastAsia="仿宋_GB2312" w:cs="仿宋_GB2312"/>
          <w:sz w:val="22"/>
          <w:szCs w:val="22"/>
          <w:highlight w:val="none"/>
          <w:u w:val="single"/>
        </w:rPr>
        <w:t xml:space="preserve"> </w:t>
      </w:r>
      <w:r>
        <w:rPr>
          <w:rFonts w:hint="eastAsia" w:ascii="仿宋_GB2312" w:hAnsi="仿宋_GB2312" w:eastAsia="仿宋_GB2312" w:cs="仿宋_GB2312"/>
          <w:sz w:val="22"/>
          <w:szCs w:val="22"/>
          <w:highlight w:val="none"/>
          <w:u w:val="single"/>
          <w:lang w:eastAsia="zh-CN"/>
        </w:rPr>
        <w:t>汪</w:t>
      </w:r>
      <w:r>
        <w:rPr>
          <w:rFonts w:hint="eastAsia" w:ascii="仿宋_GB2312" w:hAnsi="仿宋_GB2312" w:eastAsia="仿宋_GB2312" w:cs="仿宋_GB2312"/>
          <w:sz w:val="22"/>
          <w:szCs w:val="22"/>
          <w:highlight w:val="none"/>
          <w:u w:val="single"/>
          <w:lang w:val="en-US" w:eastAsia="zh-CN"/>
        </w:rPr>
        <w:t>**</w:t>
      </w:r>
      <w:r>
        <w:rPr>
          <w:rFonts w:hint="eastAsia" w:ascii="仿宋_GB2312" w:hAnsi="仿宋_GB2312" w:eastAsia="仿宋_GB2312" w:cs="仿宋_GB2312"/>
          <w:sz w:val="22"/>
          <w:szCs w:val="22"/>
          <w:highlight w:val="none"/>
          <w:u w:val="none"/>
        </w:rPr>
        <w:t xml:space="preserve"> 性别：</w:t>
      </w:r>
      <w:r>
        <w:rPr>
          <w:rFonts w:hint="eastAsia" w:ascii="仿宋_GB2312" w:hAnsi="仿宋_GB2312" w:eastAsia="仿宋_GB2312" w:cs="仿宋_GB2312"/>
          <w:sz w:val="22"/>
          <w:szCs w:val="22"/>
          <w:highlight w:val="none"/>
          <w:u w:val="single"/>
        </w:rPr>
        <w:t xml:space="preserve"> </w:t>
      </w:r>
      <w:r>
        <w:rPr>
          <w:rFonts w:hint="eastAsia" w:ascii="仿宋_GB2312" w:hAnsi="仿宋_GB2312" w:eastAsia="仿宋_GB2312" w:cs="仿宋_GB2312"/>
          <w:sz w:val="22"/>
          <w:szCs w:val="22"/>
          <w:highlight w:val="none"/>
          <w:u w:val="single"/>
          <w:lang w:eastAsia="zh-CN"/>
        </w:rPr>
        <w:t>女</w:t>
      </w:r>
      <w:r>
        <w:rPr>
          <w:rFonts w:hint="eastAsia" w:ascii="仿宋_GB2312" w:hAnsi="仿宋_GB2312" w:eastAsia="仿宋_GB2312" w:cs="仿宋_GB2312"/>
          <w:sz w:val="22"/>
          <w:szCs w:val="22"/>
          <w:highlight w:val="none"/>
          <w:u w:val="single"/>
        </w:rPr>
        <w:t xml:space="preserve"> </w:t>
      </w:r>
      <w:r>
        <w:rPr>
          <w:rFonts w:hint="eastAsia" w:ascii="仿宋_GB2312" w:hAnsi="仿宋_GB2312" w:eastAsia="仿宋_GB2312" w:cs="仿宋_GB2312"/>
          <w:sz w:val="22"/>
          <w:szCs w:val="22"/>
          <w:highlight w:val="none"/>
          <w:u w:val="none"/>
          <w:lang w:val="en-US" w:eastAsia="zh-CN"/>
        </w:rPr>
        <w:t xml:space="preserve"> </w:t>
      </w:r>
      <w:r>
        <w:rPr>
          <w:rFonts w:hint="eastAsia" w:ascii="仿宋_GB2312" w:hAnsi="仿宋_GB2312" w:eastAsia="仿宋_GB2312" w:cs="仿宋_GB2312"/>
          <w:sz w:val="22"/>
          <w:szCs w:val="22"/>
          <w:highlight w:val="none"/>
          <w:u w:val="none"/>
        </w:rPr>
        <w:t>年龄：</w:t>
      </w:r>
      <w:r>
        <w:rPr>
          <w:rFonts w:hint="eastAsia" w:ascii="仿宋_GB2312" w:hAnsi="仿宋_GB2312" w:eastAsia="仿宋_GB2312" w:cs="仿宋_GB2312"/>
          <w:sz w:val="22"/>
          <w:szCs w:val="22"/>
          <w:highlight w:val="none"/>
          <w:u w:val="single"/>
        </w:rPr>
        <w:t xml:space="preserve"> </w:t>
      </w:r>
      <w:r>
        <w:rPr>
          <w:rFonts w:hint="eastAsia" w:ascii="仿宋_GB2312" w:hAnsi="仿宋_GB2312" w:eastAsia="仿宋_GB2312" w:cs="仿宋_GB2312"/>
          <w:sz w:val="22"/>
          <w:szCs w:val="22"/>
          <w:highlight w:val="none"/>
          <w:u w:val="single"/>
          <w:lang w:val="en-US" w:eastAsia="zh-CN"/>
        </w:rPr>
        <w:t>30</w:t>
      </w:r>
      <w:r>
        <w:rPr>
          <w:rFonts w:hint="eastAsia" w:ascii="仿宋_GB2312" w:hAnsi="仿宋_GB2312" w:eastAsia="仿宋_GB2312" w:cs="仿宋_GB2312"/>
          <w:sz w:val="22"/>
          <w:szCs w:val="22"/>
          <w:highlight w:val="none"/>
          <w:u w:val="single"/>
        </w:rPr>
        <w:t xml:space="preserve"> </w:t>
      </w:r>
      <w:r>
        <w:rPr>
          <w:rFonts w:hint="eastAsia" w:ascii="仿宋_GB2312" w:hAnsi="仿宋_GB2312" w:eastAsia="仿宋_GB2312" w:cs="仿宋_GB2312"/>
          <w:sz w:val="22"/>
          <w:szCs w:val="22"/>
          <w:highlight w:val="none"/>
          <w:u w:val="none"/>
        </w:rPr>
        <w:t>身份证号：</w:t>
      </w:r>
      <w:r>
        <w:rPr>
          <w:rFonts w:hint="eastAsia" w:ascii="仿宋_GB2312" w:hAnsi="仿宋_GB2312" w:eastAsia="仿宋_GB2312" w:cs="仿宋_GB2312"/>
          <w:sz w:val="22"/>
          <w:szCs w:val="22"/>
          <w:highlight w:val="none"/>
          <w:u w:val="single"/>
          <w:lang w:val="en-US" w:eastAsia="zh-CN"/>
        </w:rPr>
        <w:t xml:space="preserve"> 350125********      </w:t>
      </w:r>
      <w:r>
        <w:rPr>
          <w:rFonts w:hint="eastAsia" w:ascii="仿宋_GB2312" w:hAnsi="仿宋_GB2312" w:eastAsia="仿宋_GB2312" w:cs="仿宋_GB2312"/>
          <w:sz w:val="22"/>
          <w:szCs w:val="22"/>
          <w:highlight w:val="none"/>
          <w:u w:val="single"/>
        </w:rPr>
        <w:t xml:space="preserve"> </w:t>
      </w:r>
    </w:p>
    <w:p w14:paraId="431E2A7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2"/>
          <w:szCs w:val="22"/>
          <w:highlight w:val="none"/>
          <w:u w:val="single"/>
        </w:rPr>
      </w:pPr>
      <w:r>
        <w:rPr>
          <w:rFonts w:hint="eastAsia" w:ascii="仿宋_GB2312" w:hAnsi="仿宋_GB2312" w:eastAsia="仿宋_GB2312" w:cs="仿宋_GB2312"/>
          <w:sz w:val="22"/>
          <w:szCs w:val="22"/>
          <w:highlight w:val="none"/>
          <w:u w:val="none"/>
        </w:rPr>
        <w:t>家庭住址：</w:t>
      </w:r>
      <w:r>
        <w:rPr>
          <w:rFonts w:hint="eastAsia" w:ascii="仿宋_GB2312" w:hAnsi="仿宋_GB2312" w:eastAsia="仿宋_GB2312" w:cs="仿宋_GB2312"/>
          <w:sz w:val="22"/>
          <w:szCs w:val="22"/>
          <w:highlight w:val="none"/>
          <w:u w:val="single"/>
        </w:rPr>
        <w:t xml:space="preserve"> </w:t>
      </w:r>
      <w:r>
        <w:rPr>
          <w:rFonts w:hint="eastAsia" w:ascii="仿宋_GB2312" w:hAnsi="仿宋_GB2312" w:eastAsia="仿宋_GB2312" w:cs="仿宋_GB2312"/>
          <w:sz w:val="22"/>
          <w:szCs w:val="22"/>
          <w:highlight w:val="none"/>
          <w:u w:val="single"/>
          <w:lang w:val="en-US" w:eastAsia="zh-CN"/>
        </w:rPr>
        <w:t xml:space="preserve">福建省永泰县樟城镇**  </w:t>
      </w:r>
      <w:r>
        <w:rPr>
          <w:rFonts w:hint="eastAsia" w:ascii="仿宋_GB2312" w:hAnsi="仿宋_GB2312" w:eastAsia="仿宋_GB2312" w:cs="仿宋_GB2312"/>
          <w:sz w:val="22"/>
          <w:szCs w:val="22"/>
          <w:highlight w:val="none"/>
          <w:u w:val="none"/>
        </w:rPr>
        <w:t>邮政编码：</w:t>
      </w:r>
      <w:r>
        <w:rPr>
          <w:rFonts w:hint="eastAsia" w:ascii="仿宋_GB2312" w:hAnsi="仿宋_GB2312" w:eastAsia="仿宋_GB2312" w:cs="仿宋_GB2312"/>
          <w:sz w:val="22"/>
          <w:szCs w:val="22"/>
          <w:highlight w:val="none"/>
          <w:u w:val="single"/>
          <w:lang w:val="en-US" w:eastAsia="zh-CN"/>
        </w:rPr>
        <w:t xml:space="preserve"> 350700 </w:t>
      </w:r>
      <w:r>
        <w:rPr>
          <w:rFonts w:hint="eastAsia" w:ascii="仿宋_GB2312" w:hAnsi="仿宋_GB2312" w:eastAsia="仿宋_GB2312" w:cs="仿宋_GB2312"/>
          <w:sz w:val="22"/>
          <w:szCs w:val="22"/>
          <w:highlight w:val="none"/>
          <w:u w:val="single"/>
        </w:rPr>
        <w:t xml:space="preserve"> </w:t>
      </w:r>
    </w:p>
    <w:p w14:paraId="6884E96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2"/>
          <w:szCs w:val="22"/>
          <w:highlight w:val="none"/>
          <w:u w:val="single"/>
          <w:lang w:val="en-US" w:eastAsia="zh-CN"/>
        </w:rPr>
      </w:pPr>
      <w:r>
        <w:rPr>
          <w:rFonts w:hint="eastAsia" w:ascii="仿宋_GB2312" w:hAnsi="仿宋_GB2312" w:eastAsia="仿宋_GB2312" w:cs="仿宋_GB2312"/>
          <w:sz w:val="22"/>
          <w:szCs w:val="22"/>
          <w:highlight w:val="none"/>
          <w:u w:val="none"/>
        </w:rPr>
        <w:t>联系电话：</w:t>
      </w:r>
      <w:r>
        <w:rPr>
          <w:rFonts w:hint="eastAsia" w:ascii="仿宋_GB2312" w:hAnsi="仿宋_GB2312" w:eastAsia="仿宋_GB2312" w:cs="仿宋_GB2312"/>
          <w:sz w:val="22"/>
          <w:szCs w:val="22"/>
          <w:highlight w:val="none"/>
          <w:u w:val="single"/>
          <w:lang w:val="en-US" w:eastAsia="zh-CN"/>
        </w:rPr>
        <w:t xml:space="preserve"> 158****5017</w:t>
      </w:r>
      <w:r>
        <w:rPr>
          <w:rFonts w:hint="eastAsia" w:ascii="仿宋_GB2312" w:hAnsi="仿宋_GB2312" w:eastAsia="仿宋_GB2312" w:cs="仿宋_GB2312"/>
          <w:sz w:val="22"/>
          <w:szCs w:val="22"/>
          <w:highlight w:val="none"/>
          <w:u w:val="none"/>
        </w:rPr>
        <w:t xml:space="preserve"> 所在单位：</w:t>
      </w:r>
      <w:r>
        <w:rPr>
          <w:rFonts w:hint="eastAsia" w:ascii="仿宋_GB2312" w:hAnsi="仿宋_GB2312" w:eastAsia="仿宋_GB2312" w:cs="仿宋_GB2312"/>
          <w:sz w:val="22"/>
          <w:szCs w:val="22"/>
          <w:u w:val="single"/>
          <w:lang w:eastAsia="zh-CN"/>
        </w:rPr>
        <w:t>永泰县大洋**加油站</w:t>
      </w:r>
      <w:r>
        <w:rPr>
          <w:rFonts w:hint="eastAsia" w:ascii="仿宋_GB2312" w:hAnsi="仿宋_GB2312" w:eastAsia="仿宋_GB2312" w:cs="仿宋_GB2312"/>
          <w:sz w:val="22"/>
          <w:szCs w:val="22"/>
          <w:highlight w:val="none"/>
          <w:u w:val="single"/>
          <w:lang w:val="en-US" w:eastAsia="zh-CN"/>
        </w:rPr>
        <w:t xml:space="preserve"> </w:t>
      </w:r>
      <w:r>
        <w:rPr>
          <w:rFonts w:hint="eastAsia" w:ascii="仿宋_GB2312" w:hAnsi="仿宋_GB2312" w:eastAsia="仿宋_GB2312" w:cs="仿宋_GB2312"/>
          <w:sz w:val="22"/>
          <w:szCs w:val="22"/>
          <w:highlight w:val="none"/>
          <w:u w:val="none"/>
        </w:rPr>
        <w:t>职务：</w:t>
      </w:r>
      <w:r>
        <w:rPr>
          <w:rFonts w:hint="eastAsia" w:ascii="仿宋_GB2312" w:hAnsi="仿宋_GB2312" w:eastAsia="仿宋_GB2312" w:cs="仿宋_GB2312"/>
          <w:sz w:val="22"/>
          <w:szCs w:val="22"/>
          <w:highlight w:val="none"/>
          <w:u w:val="single"/>
          <w:lang w:val="en-US" w:eastAsia="zh-CN"/>
        </w:rPr>
        <w:t xml:space="preserve">法定代表人                                                                          </w:t>
      </w:r>
    </w:p>
    <w:p w14:paraId="13EAE92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highlight w:val="none"/>
          <w:u w:val="none"/>
        </w:rPr>
        <w:t>单位地址：</w:t>
      </w:r>
      <w:r>
        <w:rPr>
          <w:rFonts w:hint="eastAsia" w:ascii="仿宋_GB2312" w:hAnsi="仿宋_GB2312" w:eastAsia="仿宋_GB2312" w:cs="仿宋_GB2312"/>
          <w:sz w:val="22"/>
          <w:szCs w:val="22"/>
          <w:highlight w:val="none"/>
          <w:u w:val="single"/>
          <w:lang w:eastAsia="zh-CN"/>
        </w:rPr>
        <w:t>福州市永泰县大洋镇</w:t>
      </w:r>
      <w:r>
        <w:rPr>
          <w:rFonts w:hint="eastAsia" w:ascii="仿宋_GB2312" w:hAnsi="仿宋_GB2312" w:eastAsia="仿宋_GB2312" w:cs="仿宋_GB2312"/>
          <w:sz w:val="22"/>
          <w:szCs w:val="22"/>
          <w:highlight w:val="none"/>
          <w:u w:val="single"/>
          <w:lang w:val="en-US" w:eastAsia="zh-CN"/>
        </w:rPr>
        <w:t xml:space="preserve">***                              </w:t>
      </w:r>
      <w:r>
        <w:rPr>
          <w:rFonts w:hint="eastAsia" w:ascii="仿宋_GB2312" w:hAnsi="仿宋" w:eastAsia="仿宋_GB2312" w:cs="Calibri"/>
          <w:sz w:val="21"/>
          <w:szCs w:val="21"/>
          <w:highlight w:val="none"/>
          <w:u w:val="single"/>
          <w:lang w:val="en-US" w:eastAsia="zh-CN"/>
        </w:rPr>
        <w:t xml:space="preserve">   </w:t>
      </w:r>
      <w:r>
        <w:rPr>
          <w:rFonts w:hint="eastAsia" w:ascii="仿宋_GB2312" w:hAnsi="仿宋_GB2312" w:eastAsia="仿宋_GB2312" w:cs="仿宋_GB2312"/>
          <w:color w:val="121212"/>
          <w:kern w:val="0"/>
          <w:sz w:val="22"/>
          <w:szCs w:val="22"/>
          <w:u w:val="single"/>
        </w:rPr>
        <w:t xml:space="preserve">     </w:t>
      </w:r>
      <w:r>
        <w:rPr>
          <w:rFonts w:hint="eastAsia" w:ascii="仿宋_GB2312" w:hAnsi="仿宋_GB2312" w:eastAsia="仿宋_GB2312" w:cs="仿宋_GB2312"/>
          <w:sz w:val="22"/>
          <w:szCs w:val="22"/>
          <w:u w:val="single"/>
        </w:rPr>
        <w:t xml:space="preserve">   </w:t>
      </w:r>
    </w:p>
    <w:p w14:paraId="4D7760D1">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highlight w:val="yellow"/>
        </w:rPr>
      </w:pPr>
      <w:r>
        <w:rPr>
          <w:rFonts w:hint="eastAsia" w:ascii="仿宋_GB2312" w:hAnsi="仿宋_GB2312" w:eastAsia="仿宋_GB2312" w:cs="仿宋_GB2312"/>
          <w:sz w:val="22"/>
          <w:szCs w:val="22"/>
        </w:rPr>
        <w:t>违法事实及证据：</w:t>
      </w:r>
      <w:r>
        <w:rPr>
          <w:rFonts w:hint="eastAsia" w:ascii="仿宋_GB2312" w:hAnsi="仿宋_GB2312" w:eastAsia="仿宋_GB2312" w:cs="仿宋_GB2312"/>
          <w:sz w:val="22"/>
          <w:szCs w:val="22"/>
          <w:u w:val="single"/>
        </w:rPr>
        <w:t>20</w:t>
      </w:r>
      <w:r>
        <w:rPr>
          <w:rFonts w:hint="eastAsia" w:ascii="仿宋_GB2312" w:hAnsi="仿宋_GB2312" w:eastAsia="仿宋_GB2312" w:cs="仿宋_GB2312"/>
          <w:sz w:val="22"/>
          <w:szCs w:val="22"/>
          <w:u w:val="single"/>
          <w:lang w:val="en-US" w:eastAsia="zh-CN"/>
        </w:rPr>
        <w:t>25</w:t>
      </w:r>
      <w:r>
        <w:rPr>
          <w:rFonts w:hint="eastAsia" w:ascii="仿宋_GB2312" w:hAnsi="仿宋_GB2312" w:eastAsia="仿宋_GB2312" w:cs="仿宋_GB2312"/>
          <w:sz w:val="22"/>
          <w:szCs w:val="22"/>
          <w:u w:val="single"/>
        </w:rPr>
        <w:t>年</w:t>
      </w:r>
      <w:r>
        <w:rPr>
          <w:rFonts w:hint="eastAsia" w:ascii="仿宋_GB2312" w:hAnsi="仿宋_GB2312" w:eastAsia="仿宋_GB2312" w:cs="仿宋_GB2312"/>
          <w:sz w:val="22"/>
          <w:szCs w:val="22"/>
          <w:u w:val="single"/>
          <w:lang w:val="en-US" w:eastAsia="zh-CN"/>
        </w:rPr>
        <w:t>9</w:t>
      </w:r>
      <w:r>
        <w:rPr>
          <w:rFonts w:hint="eastAsia" w:ascii="仿宋_GB2312" w:hAnsi="仿宋_GB2312" w:eastAsia="仿宋_GB2312" w:cs="仿宋_GB2312"/>
          <w:sz w:val="22"/>
          <w:szCs w:val="22"/>
          <w:u w:val="single"/>
        </w:rPr>
        <w:t>月</w:t>
      </w:r>
      <w:r>
        <w:rPr>
          <w:rFonts w:hint="eastAsia" w:ascii="仿宋_GB2312" w:hAnsi="仿宋_GB2312" w:eastAsia="仿宋_GB2312" w:cs="仿宋_GB2312"/>
          <w:sz w:val="22"/>
          <w:szCs w:val="22"/>
          <w:u w:val="single"/>
          <w:lang w:val="en-US" w:eastAsia="zh-CN"/>
        </w:rPr>
        <w:t>17</w:t>
      </w:r>
      <w:r>
        <w:rPr>
          <w:rFonts w:hint="eastAsia" w:ascii="仿宋_GB2312" w:hAnsi="仿宋_GB2312" w:eastAsia="仿宋_GB2312" w:cs="仿宋_GB2312"/>
          <w:sz w:val="22"/>
          <w:szCs w:val="22"/>
          <w:u w:val="single"/>
        </w:rPr>
        <w:t>日，</w:t>
      </w:r>
      <w:r>
        <w:rPr>
          <w:rFonts w:hint="eastAsia" w:ascii="仿宋_GB2312" w:hAnsi="仿宋_GB2312" w:eastAsia="仿宋_GB2312" w:cs="仿宋_GB2312"/>
          <w:sz w:val="22"/>
          <w:szCs w:val="22"/>
          <w:u w:val="single"/>
          <w:lang w:eastAsia="zh-CN"/>
        </w:rPr>
        <w:t>永泰县公安局大洋派出所移交永泰县大洋**加油站销售散装汽油未在散装汽油销售实名登记系统上登记相关线索至我局</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经查，永泰县大洋**加油站存在销售散装汽油未完整地在散装汽油销售实名登记系统登记相关信息的行为。</w:t>
      </w:r>
      <w:r>
        <w:rPr>
          <w:rFonts w:hint="eastAsia" w:ascii="仿宋_GB2312" w:hAnsi="仿宋_GB2312" w:eastAsia="仿宋_GB2312" w:cs="仿宋_GB2312"/>
          <w:sz w:val="22"/>
          <w:szCs w:val="22"/>
          <w:highlight w:val="none"/>
          <w:lang w:val="en-US" w:eastAsia="zh-CN"/>
        </w:rPr>
        <w:t xml:space="preserve">          </w:t>
      </w:r>
      <w:r>
        <w:rPr>
          <w:rFonts w:hint="eastAsia" w:ascii="仿宋_GB2312" w:hAnsi="仿宋_GB2312" w:eastAsia="仿宋_GB2312" w:cs="仿宋_GB2312"/>
          <w:sz w:val="22"/>
          <w:szCs w:val="22"/>
          <w:highlight w:val="none"/>
        </w:rPr>
        <w:t xml:space="preserve"> </w:t>
      </w:r>
    </w:p>
    <w:p w14:paraId="5EEDCE35">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highlight w:val="none"/>
          <w:u w:val="none"/>
          <w:lang w:val="en-US" w:eastAsia="zh-CN"/>
        </w:rPr>
        <w:t>以上事实主要证据如下：</w:t>
      </w:r>
      <w:bookmarkStart w:id="0" w:name="OLE_LINK4"/>
      <w:r>
        <w:rPr>
          <w:rFonts w:hint="eastAsia" w:ascii="仿宋_GB2312" w:hAnsi="仿宋_GB2312" w:eastAsia="仿宋_GB2312" w:cs="仿宋_GB2312"/>
          <w:sz w:val="22"/>
          <w:szCs w:val="22"/>
          <w:u w:val="single"/>
        </w:rPr>
        <w:t>证据一：</w:t>
      </w:r>
      <w:bookmarkEnd w:id="0"/>
      <w:r>
        <w:rPr>
          <w:rFonts w:hint="eastAsia" w:ascii="仿宋_GB2312" w:hAnsi="仿宋_GB2312" w:eastAsia="仿宋_GB2312" w:cs="仿宋_GB2312"/>
          <w:sz w:val="22"/>
          <w:szCs w:val="22"/>
          <w:u w:val="single"/>
          <w:lang w:eastAsia="zh-CN"/>
        </w:rPr>
        <w:t>永泰县公安局大洋派出所移交的陈</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询问笔录、郑</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询问笔录复印件各1份；证据二：现场检查记录、永泰县大洋**加油站《营业执照》《危险化学品经营许可证》复印件各1份；证据三：汪</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、郑</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《调查询问笔录》、身份证复印件、安全管理知识和能力培训合格证复印件各1份；证据四：永泰县大洋**加油站监控记录视频2份、散装汽油销售实名登记系统照片1张；</w:t>
      </w:r>
    </w:p>
    <w:p w14:paraId="0540CA72">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以上行为违反了</w:t>
      </w:r>
      <w:r>
        <w:rPr>
          <w:rFonts w:hint="eastAsia" w:ascii="仿宋_GB2312" w:hAnsi="仿宋_GB2312" w:eastAsia="仿宋_GB2312" w:cs="仿宋_GB2312"/>
          <w:sz w:val="22"/>
          <w:szCs w:val="22"/>
          <w:u w:val="single"/>
        </w:rPr>
        <w:t xml:space="preserve"> 《福建省散装汽油购销安全管理办法》（福建省人民政府令第183号）第五条 </w:t>
      </w:r>
      <w:r>
        <w:rPr>
          <w:rFonts w:hint="eastAsia" w:ascii="仿宋_GB2312" w:hAnsi="仿宋_GB2312" w:eastAsia="仿宋_GB2312" w:cs="仿宋_GB2312"/>
          <w:sz w:val="22"/>
          <w:szCs w:val="22"/>
        </w:rPr>
        <w:t>的规定，依据</w:t>
      </w:r>
      <w:r>
        <w:rPr>
          <w:rFonts w:hint="eastAsia" w:ascii="仿宋_GB2312" w:hAnsi="仿宋_GB2312" w:eastAsia="仿宋_GB2312" w:cs="仿宋_GB2312"/>
          <w:sz w:val="22"/>
          <w:szCs w:val="22"/>
          <w:u w:val="single"/>
        </w:rPr>
        <w:t xml:space="preserve"> 《福建省散装汽油购销安全管理办法》（福建省人民政府令第183号）第十五条第（</w:t>
      </w:r>
      <w:r>
        <w:rPr>
          <w:rFonts w:hint="eastAsia" w:ascii="仿宋_GB2312" w:hAnsi="仿宋_GB2312" w:eastAsia="仿宋_GB2312" w:cs="仿宋_GB2312"/>
          <w:sz w:val="22"/>
          <w:szCs w:val="22"/>
          <w:u w:val="single"/>
          <w:lang w:eastAsia="zh-CN"/>
        </w:rPr>
        <w:t>二</w:t>
      </w:r>
      <w:r>
        <w:rPr>
          <w:rFonts w:hint="eastAsia" w:ascii="仿宋_GB2312" w:hAnsi="仿宋_GB2312" w:eastAsia="仿宋_GB2312" w:cs="仿宋_GB2312"/>
          <w:sz w:val="22"/>
          <w:szCs w:val="22"/>
          <w:u w:val="single"/>
        </w:rPr>
        <w:t xml:space="preserve">）项 </w:t>
      </w:r>
      <w:r>
        <w:rPr>
          <w:rFonts w:hint="eastAsia" w:ascii="仿宋_GB2312" w:hAnsi="仿宋_GB2312" w:eastAsia="仿宋_GB2312" w:cs="仿宋_GB2312"/>
          <w:sz w:val="22"/>
          <w:szCs w:val="22"/>
        </w:rPr>
        <w:t>的规定，</w:t>
      </w:r>
      <w:r>
        <w:rPr>
          <w:rFonts w:hint="eastAsia" w:ascii="仿宋_GB2312" w:hAnsi="仿宋_GB2312" w:eastAsia="仿宋_GB2312" w:cs="仿宋_GB2312"/>
          <w:sz w:val="22"/>
          <w:szCs w:val="22"/>
          <w:lang w:eastAsia="zh-CN"/>
        </w:rPr>
        <w:t>决定给予</w:t>
      </w:r>
      <w:r>
        <w:rPr>
          <w:rFonts w:hint="eastAsia" w:ascii="仿宋_GB2312" w:hAnsi="仿宋_GB2312" w:eastAsia="仿宋_GB2312" w:cs="仿宋_GB2312"/>
          <w:sz w:val="22"/>
          <w:szCs w:val="22"/>
          <w:u w:val="single"/>
        </w:rPr>
        <w:t xml:space="preserve"> 处罚款人民币壹仟贰佰伍拾元整（¥1,250）</w:t>
      </w:r>
      <w:r>
        <w:rPr>
          <w:rFonts w:hint="eastAsia" w:ascii="仿宋_GB2312" w:hAnsi="仿宋_GB2312" w:eastAsia="仿宋_GB2312" w:cs="仿宋_GB2312"/>
          <w:sz w:val="22"/>
          <w:szCs w:val="22"/>
          <w:u w:val="single"/>
          <w:lang w:val="en-US" w:eastAsia="zh-CN"/>
        </w:rPr>
        <w:t xml:space="preserve"> </w:t>
      </w:r>
      <w:r>
        <w:rPr>
          <w:rFonts w:hint="eastAsia" w:ascii="仿宋_GB2312" w:hAnsi="仿宋_GB2312" w:eastAsia="仿宋_GB2312" w:cs="仿宋_GB2312"/>
          <w:sz w:val="22"/>
          <w:szCs w:val="22"/>
        </w:rPr>
        <w:t>的行政处罚。</w:t>
      </w:r>
      <w:bookmarkStart w:id="1" w:name="_GoBack"/>
      <w:bookmarkEnd w:id="1"/>
    </w:p>
    <w:p w14:paraId="4D460F21">
      <w:pPr>
        <w:pStyle w:val="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eastAsia="zh-CN"/>
        </w:rPr>
        <w:t>上述处罚自由裁量情况如下：</w:t>
      </w:r>
    </w:p>
    <w:p w14:paraId="6BEFA410">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u w:val="single"/>
          <w:lang w:eastAsia="zh-CN"/>
        </w:rPr>
        <w:t>《福建省安全生产行政处罚裁量基准（</w:t>
      </w:r>
      <w:r>
        <w:rPr>
          <w:rFonts w:hint="eastAsia" w:ascii="仿宋_GB2312" w:hAnsi="仿宋_GB2312" w:eastAsia="仿宋_GB2312" w:cs="仿宋_GB2312"/>
          <w:sz w:val="22"/>
          <w:szCs w:val="22"/>
          <w:u w:val="single"/>
          <w:lang w:val="en-US" w:eastAsia="zh-CN"/>
        </w:rPr>
        <w:t>2022年版</w:t>
      </w:r>
      <w:r>
        <w:rPr>
          <w:rFonts w:hint="eastAsia" w:ascii="仿宋_GB2312" w:hAnsi="仿宋_GB2312" w:eastAsia="仿宋_GB2312" w:cs="仿宋_GB2312"/>
          <w:sz w:val="22"/>
          <w:szCs w:val="22"/>
          <w:u w:val="single"/>
          <w:lang w:eastAsia="zh-CN"/>
        </w:rPr>
        <w:t>）》第四部分危险化学品类《福建省散装汽油购销安全管理办法》相关规定裁量基准第（二）项规定：“加油站点销售散装汽油未如实、完整地在散装汽油销售实名登记系统登记相关信息的”，“责令改正，对加油站点法定代表人或者主要负责人、相关责任人，处2500元以下罚款”。</w:t>
      </w:r>
    </w:p>
    <w:p w14:paraId="592CB7FD">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处以罚款的，罚款自收到本决定书之日起15日内缴至 </w:t>
      </w:r>
      <w:r>
        <w:rPr>
          <w:rFonts w:hint="eastAsia" w:ascii="仿宋_GB2312" w:hAnsi="仿宋_GB2312" w:eastAsia="仿宋_GB2312" w:cs="仿宋_GB2312"/>
          <w:sz w:val="22"/>
          <w:szCs w:val="22"/>
          <w:u w:val="single"/>
          <w:lang w:eastAsia="zh-CN"/>
        </w:rPr>
        <w:t>福建省政府非税收入待解缴科目</w:t>
      </w:r>
      <w:r>
        <w:rPr>
          <w:rFonts w:hint="eastAsia" w:ascii="仿宋_GB2312" w:hAnsi="仿宋_GB2312" w:eastAsia="仿宋_GB2312" w:cs="仿宋_GB2312"/>
          <w:sz w:val="22"/>
          <w:szCs w:val="22"/>
        </w:rPr>
        <w:t>，账号</w:t>
      </w:r>
      <w:r>
        <w:rPr>
          <w:rFonts w:hint="eastAsia" w:ascii="仿宋_GB2312" w:hAnsi="仿宋_GB2312" w:eastAsia="仿宋_GB2312" w:cs="仿宋_GB2312"/>
          <w:sz w:val="22"/>
          <w:szCs w:val="22"/>
          <w:u w:val="single"/>
          <w:lang w:val="en-US" w:eastAsia="zh-CN"/>
        </w:rPr>
        <w:t xml:space="preserve"> </w:t>
      </w:r>
      <w:r>
        <w:rPr>
          <w:rFonts w:hint="eastAsia" w:ascii="仿宋_GB2312" w:hAnsi="仿宋_GB2312" w:eastAsia="仿宋_GB2312" w:cs="仿宋_GB2312"/>
          <w:sz w:val="22"/>
          <w:szCs w:val="22"/>
          <w:u w:val="single"/>
          <w:lang w:eastAsia="zh-CN"/>
        </w:rPr>
        <w:t>福建省非税收入缴款通知书（电子）</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rPr>
        <w:t>，到期不缴每日按罚款数额的3%加处罚款。</w:t>
      </w:r>
    </w:p>
    <w:p w14:paraId="54535CCD">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如果不服本处罚决定，可以依法在60日内向</w:t>
      </w:r>
      <w:r>
        <w:rPr>
          <w:rFonts w:hint="eastAsia" w:ascii="仿宋_GB2312" w:hAnsi="仿宋_GB2312" w:eastAsia="仿宋_GB2312" w:cs="仿宋_GB2312"/>
          <w:sz w:val="22"/>
          <w:szCs w:val="22"/>
          <w:u w:val="single"/>
          <w:lang w:val="en-US" w:eastAsia="zh-CN"/>
        </w:rPr>
        <w:t xml:space="preserve"> </w:t>
      </w:r>
      <w:r>
        <w:rPr>
          <w:rFonts w:hint="eastAsia" w:ascii="仿宋_GB2312" w:hAnsi="仿宋_GB2312" w:eastAsia="仿宋_GB2312" w:cs="仿宋_GB2312"/>
          <w:sz w:val="22"/>
          <w:szCs w:val="22"/>
          <w:u w:val="single"/>
          <w:lang w:eastAsia="zh-CN"/>
        </w:rPr>
        <w:t>永泰县</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rPr>
        <w:t xml:space="preserve">人民政府申请行政复议，或者在6个月内依法向 </w:t>
      </w:r>
      <w:r>
        <w:rPr>
          <w:rFonts w:hint="eastAsia" w:ascii="仿宋_GB2312" w:hAnsi="仿宋_GB2312" w:eastAsia="仿宋_GB2312" w:cs="仿宋_GB2312"/>
          <w:sz w:val="22"/>
          <w:szCs w:val="22"/>
          <w:u w:val="single"/>
          <w:lang w:eastAsia="zh-CN"/>
        </w:rPr>
        <w:t>福州市仓山区</w:t>
      </w:r>
      <w:r>
        <w:rPr>
          <w:rFonts w:hint="eastAsia" w:ascii="仿宋_GB2312" w:hAnsi="仿宋_GB2312" w:eastAsia="仿宋_GB2312" w:cs="仿宋_GB2312"/>
          <w:sz w:val="22"/>
          <w:szCs w:val="22"/>
        </w:rPr>
        <w:t xml:space="preserve"> 人民法院提起行政诉讼，但本决定不停止执行，法律另有规定的除外。逾期不申请行政复议、不提起行政诉讼又不履行的，本机关将依法申请人民法院强制执行或者依照有关规定强制执行。</w:t>
      </w:r>
    </w:p>
    <w:p w14:paraId="1BF37E9B">
      <w:pPr>
        <w:pStyle w:val="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rPr>
      </w:pPr>
    </w:p>
    <w:p w14:paraId="00CA8234">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rPr>
        <w:t xml:space="preserve"> </w:t>
      </w:r>
    </w:p>
    <w:p w14:paraId="68CAAD5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lang w:eastAsia="zh-CN"/>
        </w:rPr>
        <w:t>永泰县应急管理局</w:t>
      </w:r>
    </w:p>
    <w:p w14:paraId="2D86602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 xml:space="preserve">                                                       2025</w:t>
      </w:r>
      <w:r>
        <w:rPr>
          <w:rFonts w:hint="eastAsia" w:ascii="仿宋_GB2312" w:hAnsi="仿宋_GB2312" w:eastAsia="仿宋_GB2312" w:cs="仿宋_GB2312"/>
          <w:sz w:val="22"/>
          <w:szCs w:val="22"/>
        </w:rPr>
        <w:t>年</w:t>
      </w:r>
      <w:r>
        <w:rPr>
          <w:rFonts w:hint="eastAsia" w:ascii="仿宋_GB2312" w:hAnsi="仿宋_GB2312" w:eastAsia="仿宋_GB2312" w:cs="仿宋_GB2312"/>
          <w:sz w:val="22"/>
          <w:szCs w:val="22"/>
          <w:lang w:val="en-US" w:eastAsia="zh-CN"/>
        </w:rPr>
        <w:t>10</w:t>
      </w:r>
      <w:r>
        <w:rPr>
          <w:rFonts w:hint="eastAsia" w:ascii="仿宋_GB2312" w:hAnsi="仿宋_GB2312" w:eastAsia="仿宋_GB2312" w:cs="仿宋_GB2312"/>
          <w:sz w:val="22"/>
          <w:szCs w:val="22"/>
        </w:rPr>
        <w:t>月</w:t>
      </w:r>
      <w:r>
        <w:rPr>
          <w:rFonts w:hint="eastAsia" w:ascii="仿宋_GB2312" w:hAnsi="仿宋_GB2312" w:eastAsia="仿宋_GB2312" w:cs="仿宋_GB2312"/>
          <w:sz w:val="22"/>
          <w:szCs w:val="22"/>
          <w:lang w:val="en-US" w:eastAsia="zh-CN"/>
        </w:rPr>
        <w:t>27</w:t>
      </w:r>
      <w:r>
        <w:rPr>
          <w:rFonts w:hint="eastAsia" w:ascii="仿宋_GB2312" w:hAnsi="仿宋_GB2312" w:eastAsia="仿宋_GB2312" w:cs="仿宋_GB2312"/>
          <w:sz w:val="22"/>
          <w:szCs w:val="22"/>
        </w:rPr>
        <w:t>日</w:t>
      </w:r>
    </w:p>
    <w:p w14:paraId="4069292B">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val="en-US" w:eastAsia="zh-CN"/>
        </w:rPr>
      </w:pPr>
    </w:p>
    <w:p w14:paraId="47958B92">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 xml:space="preserve">       </w:t>
      </w:r>
    </w:p>
    <w:p w14:paraId="10112152">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73660</wp:posOffset>
                </wp:positionV>
                <wp:extent cx="5486400" cy="0"/>
                <wp:effectExtent l="0" t="0" r="0" b="0"/>
                <wp:wrapNone/>
                <wp:docPr id="2" name="直接连接符 43"/>
                <wp:cNvGraphicFramePr/>
                <a:graphic xmlns:a="http://schemas.openxmlformats.org/drawingml/2006/main">
                  <a:graphicData uri="http://schemas.microsoft.com/office/word/2010/wordprocessingShape">
                    <wps:wsp>
                      <wps:cNvCnPr/>
                      <wps:spPr>
                        <a:xfrm>
                          <a:off x="0" y="0"/>
                          <a:ext cx="5486400" cy="0"/>
                        </a:xfrm>
                        <a:prstGeom prst="line">
                          <a:avLst/>
                        </a:prstGeom>
                        <a:ln w="19050" cap="flat" cmpd="sng">
                          <a:solidFill>
                            <a:srgbClr val="000000"/>
                          </a:solidFill>
                          <a:prstDash val="solid"/>
                          <a:round/>
                          <a:headEnd type="none" w="med" len="med"/>
                          <a:tailEnd type="none" w="med" len="med"/>
                        </a:ln>
                      </wps:spPr>
                      <wps:bodyPr upright="1"/>
                    </wps:wsp>
                  </a:graphicData>
                </a:graphic>
              </wp:anchor>
            </w:drawing>
          </mc:Choice>
          <mc:Fallback>
            <w:pict>
              <v:line id="直接连接符 43" o:spid="_x0000_s1026" o:spt="20" style="position:absolute;left:0pt;margin-left:-1pt;margin-top:5.8pt;height:0pt;width:432pt;z-index:251660288;mso-width-relative:page;mso-height-relative:page;" filled="f" stroked="t" coordsize="21600,21600" o:gfxdata="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VoDSh1AAAAAgBAAAPAAAAAAAAAAEAIAAAACIAAABkcnMvZG93bnJldi54bWxQ&#10;SwECFAAUAAAACACHTuJAkDrN2/sBAADwAwAADgAAAAAAAAABACAAAAAjAQAAZHJzL2Uyb0RvYy54&#10;bWxQSwUGAAAAAAYABgBZAQAAkAUAAAAA&#10;">
                <v:fill on="f" focussize="0,0"/>
                <v:stroke weight="1.5pt" color="#000000" joinstyle="round"/>
                <v:imagedata o:title=""/>
                <o:lock v:ext="edit" aspectratio="f"/>
              </v:line>
            </w:pict>
          </mc:Fallback>
        </mc:AlternateContent>
      </w:r>
    </w:p>
    <w:p w14:paraId="5CF14D09">
      <w:pPr>
        <w:keepNext w:val="0"/>
        <w:keepLines w:val="0"/>
        <w:pageBreakBefore w:val="0"/>
        <w:widowControl w:val="0"/>
        <w:kinsoku/>
        <w:wordWrap/>
        <w:overflowPunct/>
        <w:topLinePunct w:val="0"/>
        <w:autoSpaceDE/>
        <w:autoSpaceDN/>
        <w:bidi w:val="0"/>
        <w:adjustRightInd/>
        <w:snapToGrid/>
        <w:spacing w:line="320" w:lineRule="exact"/>
        <w:ind w:firstLine="1100" w:firstLineChars="500"/>
        <w:textAlignment w:val="auto"/>
        <w:rPr>
          <w:rFonts w:hint="eastAsia" w:ascii="仿宋_GB2312" w:hAnsi="仿宋_GB2312" w:eastAsia="仿宋_GB2312" w:cs="仿宋_GB2312"/>
        </w:rPr>
      </w:pPr>
      <w:r>
        <w:rPr>
          <w:rFonts w:hint="eastAsia" w:ascii="仿宋_GB2312" w:hAnsi="仿宋_GB2312" w:eastAsia="仿宋_GB2312" w:cs="仿宋_GB2312"/>
          <w:sz w:val="22"/>
          <w:szCs w:val="22"/>
        </w:rPr>
        <w:t>本文书一式两份：一份由应急管理部门备案，一份交被处罚人（单</w:t>
      </w:r>
      <w:r>
        <w:rPr>
          <w:rFonts w:hint="eastAsia" w:ascii="仿宋_GB2312" w:hAnsi="仿宋_GB2312" w:eastAsia="仿宋_GB2312" w:cs="仿宋_GB2312"/>
          <w:sz w:val="21"/>
          <w:szCs w:val="21"/>
        </w:rPr>
        <w:t>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zNTc4OGE4MTU5NmU4OTE3NWJjZTFhMTEwYTM4MzgifQ=="/>
  </w:docVars>
  <w:rsids>
    <w:rsidRoot w:val="00172A27"/>
    <w:rsid w:val="05F724A7"/>
    <w:rsid w:val="09DC5578"/>
    <w:rsid w:val="0A79408C"/>
    <w:rsid w:val="110F7CF4"/>
    <w:rsid w:val="13777DA9"/>
    <w:rsid w:val="1FC407C2"/>
    <w:rsid w:val="23683754"/>
    <w:rsid w:val="23DA3866"/>
    <w:rsid w:val="29CC3D93"/>
    <w:rsid w:val="2B89156E"/>
    <w:rsid w:val="2F992F2B"/>
    <w:rsid w:val="3147038D"/>
    <w:rsid w:val="32081A24"/>
    <w:rsid w:val="346B5F77"/>
    <w:rsid w:val="36727E6A"/>
    <w:rsid w:val="3A45253D"/>
    <w:rsid w:val="3F8A235D"/>
    <w:rsid w:val="4763B6B6"/>
    <w:rsid w:val="49FC7880"/>
    <w:rsid w:val="4CE12035"/>
    <w:rsid w:val="4E63499A"/>
    <w:rsid w:val="50C37DBB"/>
    <w:rsid w:val="52F07F1D"/>
    <w:rsid w:val="5DAA059C"/>
    <w:rsid w:val="62F61AA5"/>
    <w:rsid w:val="64886648"/>
    <w:rsid w:val="650E086A"/>
    <w:rsid w:val="660B1D8F"/>
    <w:rsid w:val="68F274E3"/>
    <w:rsid w:val="7602597D"/>
    <w:rsid w:val="77F777F2"/>
    <w:rsid w:val="796D7994"/>
    <w:rsid w:val="7F5C6911"/>
    <w:rsid w:val="7F87196B"/>
    <w:rsid w:val="DEEF6461"/>
    <w:rsid w:val="EBFD4EDF"/>
    <w:rsid w:val="FD7AD980"/>
    <w:rsid w:val="FFE8AA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Calibri" w:asciiTheme="minorHAnsi" w:hAnsiTheme="minorHAnsi" w:eastAsiaTheme="minorEastAsia"/>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jc w:val="left"/>
    </w:pPr>
    <w:rPr>
      <w:rFonts w:eastAsia="仿宋_GB231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905</Words>
  <Characters>995</Characters>
  <Lines>1</Lines>
  <Paragraphs>1</Paragraphs>
  <TotalTime>3</TotalTime>
  <ScaleCrop>false</ScaleCrop>
  <LinksUpToDate>false</LinksUpToDate>
  <CharactersWithSpaces>1229</CharactersWithSpaces>
  <Application>WPS Office_12.8.2.19550_F1E327BC-269C-435d-A152-05C5408002CA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2018-09-27T08:19:00Z</dcterms:created>
  <dc:creator>Administrator</dc:creator>
  <cp:lastModifiedBy>aa</cp:lastModifiedBy>
  <cp:lastPrinted>2021-04-28T02:33:00Z</cp:lastPrinted>
  <dcterms:modified xsi:type="dcterms:W3CDTF">2025-11-04T09:18:38Z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2052-12.8.2.19550</vt:lpwstr>
  </property>
  <property fmtid="{D5CDD505-2E9C-101B-9397-08002B2CF9AE}" pid="3" name="ICV">
    <vt:lpwstr>1F995256545766F0584D096917BB7DE5_43</vt:lpwstr>
  </property>
  <property fmtid="{D5CDD505-2E9C-101B-9397-08002B2CF9AE}" pid="4" name="KSOTemplateDocerSaveRecord">
    <vt:lpwstr>eyJoZGlkIjoiNzMzNTc4OGE4MTU5NmU4OTE3NWJjZTFhMTEwYTM4MzgiLCJ1c2VySWQiOiIxNTE5MzQ2MzEyIn0=</vt:lpwstr>
  </property>
</Properties>
</file>